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450D" w14:textId="1A008975" w:rsidR="00E11DC6" w:rsidRPr="00791CF8" w:rsidRDefault="00E11DC6" w:rsidP="00E11DC6">
      <w:pPr>
        <w:rPr>
          <w:rFonts w:ascii="Open Sans" w:hAnsi="Open Sans" w:cs="Open Sans"/>
          <w:b/>
          <w:bCs/>
          <w:kern w:val="2"/>
          <w:sz w:val="32"/>
          <w:szCs w:val="32"/>
        </w:rPr>
      </w:pPr>
      <w:r w:rsidRPr="00791CF8">
        <w:rPr>
          <w:rFonts w:ascii="Open Sans" w:hAnsi="Open Sans" w:cs="Open Sans"/>
          <w:b/>
          <w:bCs/>
          <w:sz w:val="32"/>
          <w:szCs w:val="32"/>
        </w:rPr>
        <w:t>O výplatních páskách a mzdových listech</w:t>
      </w:r>
    </w:p>
    <w:p w14:paraId="1F0DFB03" w14:textId="3551FF28" w:rsidR="00E11DC6" w:rsidRPr="00791CF8" w:rsidRDefault="00E11DC6" w:rsidP="00E11DC6">
      <w:pPr>
        <w:jc w:val="both"/>
        <w:rPr>
          <w:color w:val="4C565C"/>
        </w:rPr>
      </w:pPr>
      <w:r w:rsidRPr="00791CF8">
        <w:t>Jste-li zaměstnanec, jistě od svého zaměstnavatele každý měsíc dostáváte výplatní pásku. Víte ale, jaké údaje by měla obsahovat? A jaký je rozdíl mezi výplatní páskou a mzdovým listem?</w:t>
      </w:r>
    </w:p>
    <w:p w14:paraId="76635C28" w14:textId="4B4A74BE" w:rsidR="00E11DC6" w:rsidRPr="00791CF8" w:rsidRDefault="00791CF8" w:rsidP="00E11DC6">
      <w:pPr>
        <w:spacing w:line="259" w:lineRule="auto"/>
        <w:ind w:left="0" w:firstLine="720"/>
        <w:jc w:val="both"/>
        <w:rPr>
          <w:b/>
          <w:bCs/>
          <w:color w:val="4C565C"/>
        </w:rPr>
      </w:pPr>
      <w:r w:rsidRPr="00791CF8">
        <w:rPr>
          <w:b/>
          <w:bCs/>
          <w:color w:val="4C565C"/>
        </w:rPr>
        <w:t>Výplatní páska a její náležitosti</w:t>
      </w:r>
    </w:p>
    <w:p w14:paraId="7F8C8521" w14:textId="3E881ADF" w:rsidR="00791CF8" w:rsidRPr="00791CF8" w:rsidRDefault="00791CF8" w:rsidP="00791CF8">
      <w:pPr>
        <w:jc w:val="both"/>
        <w:rPr>
          <w:color w:val="4C565C"/>
        </w:rPr>
      </w:pPr>
      <w:r w:rsidRPr="00791CF8">
        <w:rPr>
          <w:color w:val="4C565C"/>
        </w:rPr>
        <w:t xml:space="preserve">Podle zákona č. 262/2006 Sb. zákoníku práce je zaměstnavatel při měsíčním vyúčtování mzdy nebo platu povinen </w:t>
      </w:r>
      <w:r w:rsidRPr="0018117B">
        <w:rPr>
          <w:i/>
          <w:iCs/>
          <w:color w:val="4C565C"/>
        </w:rPr>
        <w:t>vydat zaměstnanci písemný doklad obsahující údaje o jednotlivých složkách mzdy nebo platu a provedených srážkách</w:t>
      </w:r>
      <w:r w:rsidRPr="00791CF8">
        <w:rPr>
          <w:color w:val="4C565C"/>
        </w:rPr>
        <w:t>. Tento doklad je všeobecně znám jako výplatní páska (případně výplatnice nebo výplatní lístek), ačkoliv zákon toto označené jako takové nezmiňuje. Výplatnici zaměstnavatel poskytuje zaměstnancům na hlavní pracovní poměr i na dohod</w:t>
      </w:r>
      <w:r w:rsidR="0018117B">
        <w:rPr>
          <w:color w:val="4C565C"/>
        </w:rPr>
        <w:t>u</w:t>
      </w:r>
      <w:r w:rsidRPr="00791CF8">
        <w:rPr>
          <w:color w:val="4C565C"/>
        </w:rPr>
        <w:t xml:space="preserve"> o provedení práce a o pracovní činnosti. Může tak učinit v tištěné i elektronické podobě</w:t>
      </w:r>
      <w:r w:rsidR="0018117B">
        <w:rPr>
          <w:color w:val="4C565C"/>
        </w:rPr>
        <w:t>. Jedná se o doklad</w:t>
      </w:r>
      <w:r w:rsidRPr="00791CF8">
        <w:rPr>
          <w:color w:val="4C565C"/>
        </w:rPr>
        <w:t xml:space="preserve"> ke mzdě</w:t>
      </w:r>
      <w:r w:rsidR="0018117B">
        <w:rPr>
          <w:color w:val="4C565C"/>
        </w:rPr>
        <w:t xml:space="preserve">, měl by </w:t>
      </w:r>
      <w:r w:rsidRPr="00791CF8">
        <w:rPr>
          <w:color w:val="4C565C"/>
        </w:rPr>
        <w:t xml:space="preserve">tedy </w:t>
      </w:r>
      <w:r w:rsidR="0018117B">
        <w:rPr>
          <w:color w:val="4C565C"/>
        </w:rPr>
        <w:t xml:space="preserve">být </w:t>
      </w:r>
      <w:r w:rsidRPr="00791CF8">
        <w:rPr>
          <w:color w:val="4C565C"/>
        </w:rPr>
        <w:t xml:space="preserve">zaměstnanci doručen spolu s výplatou. </w:t>
      </w:r>
    </w:p>
    <w:p w14:paraId="5CD361F7" w14:textId="7A538616" w:rsidR="00E11DC6" w:rsidRPr="00791CF8" w:rsidRDefault="003E27B0" w:rsidP="00791CF8">
      <w:pPr>
        <w:jc w:val="both"/>
        <w:rPr>
          <w:color w:val="4C565C"/>
        </w:rPr>
      </w:pPr>
      <w:r>
        <w:rPr>
          <w:color w:val="4C565C"/>
        </w:rPr>
        <w:t xml:space="preserve">Přesný </w:t>
      </w:r>
      <w:r w:rsidR="00791CF8" w:rsidRPr="00791CF8">
        <w:rPr>
          <w:color w:val="4C565C"/>
        </w:rPr>
        <w:t>vzor výplatní pásky není dán zákonem a její konečnou podobu vytváří zaměstnavatel ve svém mzdovém systému. Páska by nicméně měla obsahovat následující:</w:t>
      </w:r>
    </w:p>
    <w:p w14:paraId="72303BD2" w14:textId="77777777" w:rsidR="00791CF8" w:rsidRPr="00791CF8" w:rsidRDefault="00791CF8" w:rsidP="00791CF8">
      <w:pPr>
        <w:pStyle w:val="Akapitzlist"/>
        <w:numPr>
          <w:ilvl w:val="0"/>
          <w:numId w:val="2"/>
        </w:numPr>
        <w:spacing w:before="240" w:after="160" w:line="259" w:lineRule="auto"/>
        <w:ind w:right="0"/>
      </w:pPr>
      <w:r w:rsidRPr="00791CF8">
        <w:t>Identifikační údaje zaměstnavatele a zaměstnance.</w:t>
      </w:r>
    </w:p>
    <w:p w14:paraId="3F73D848" w14:textId="77777777" w:rsidR="00791CF8" w:rsidRPr="00791CF8" w:rsidRDefault="00791CF8" w:rsidP="00791CF8">
      <w:pPr>
        <w:pStyle w:val="Akapitzlist"/>
        <w:numPr>
          <w:ilvl w:val="0"/>
          <w:numId w:val="2"/>
        </w:numPr>
        <w:spacing w:before="240" w:after="160" w:line="259" w:lineRule="auto"/>
        <w:ind w:right="0"/>
      </w:pPr>
      <w:r w:rsidRPr="00791CF8">
        <w:t>Období, za které se mzda vyplácí.</w:t>
      </w:r>
    </w:p>
    <w:p w14:paraId="5A3D18B2" w14:textId="21D8407F" w:rsidR="00791CF8" w:rsidRPr="00791CF8" w:rsidRDefault="00791CF8" w:rsidP="00791CF8">
      <w:pPr>
        <w:pStyle w:val="Akapitzlist"/>
        <w:numPr>
          <w:ilvl w:val="0"/>
          <w:numId w:val="2"/>
        </w:numPr>
        <w:spacing w:before="240" w:after="160" w:line="259" w:lineRule="auto"/>
        <w:ind w:right="0"/>
      </w:pPr>
      <w:r w:rsidRPr="00791CF8">
        <w:t>Zdravotní pojišťovnu zaměstnance.</w:t>
      </w:r>
    </w:p>
    <w:p w14:paraId="74E95CFF" w14:textId="09AF96BC" w:rsidR="00791CF8" w:rsidRPr="00791CF8" w:rsidRDefault="00791CF8" w:rsidP="00791CF8">
      <w:pPr>
        <w:pStyle w:val="Akapitzlist"/>
        <w:numPr>
          <w:ilvl w:val="0"/>
          <w:numId w:val="2"/>
        </w:numPr>
        <w:spacing w:before="240" w:after="160" w:line="259" w:lineRule="auto"/>
        <w:ind w:right="0"/>
      </w:pPr>
      <w:r w:rsidRPr="00791CF8">
        <w:t xml:space="preserve">Tarifní mzdu </w:t>
      </w:r>
      <w:r w:rsidR="0018117B">
        <w:t>(</w:t>
      </w:r>
      <w:r w:rsidRPr="00791CF8">
        <w:t>tzn. mzdu, kterou má zaměstnanec uvedenou ve smlouvě či mzdovém výměru</w:t>
      </w:r>
      <w:r w:rsidR="0018117B">
        <w:t>), hrubou mzdu a konečnou mzdu k výplatě (na</w:t>
      </w:r>
      <w:r w:rsidR="0018117B" w:rsidRPr="00791CF8">
        <w:t xml:space="preserve"> ilustrační výplatní pásce níže uvedena jako mzda na účet</w:t>
      </w:r>
      <w:r w:rsidR="0018117B">
        <w:t>,</w:t>
      </w:r>
      <w:r w:rsidR="0018117B" w:rsidRPr="00791CF8">
        <w:t xml:space="preserve"> opět </w:t>
      </w:r>
      <w:r w:rsidR="0018117B">
        <w:t xml:space="preserve">ale </w:t>
      </w:r>
      <w:r w:rsidR="0018117B" w:rsidRPr="00791CF8">
        <w:t>záleží na nastavení konkrétního zaměstnavatele</w:t>
      </w:r>
      <w:r w:rsidR="0018117B">
        <w:t>)</w:t>
      </w:r>
      <w:r w:rsidRPr="00791CF8">
        <w:t>.</w:t>
      </w:r>
    </w:p>
    <w:p w14:paraId="4D4D36BC" w14:textId="1B6C730F" w:rsidR="00791CF8" w:rsidRPr="00791CF8" w:rsidRDefault="00791CF8" w:rsidP="00791CF8">
      <w:pPr>
        <w:pStyle w:val="Akapitzlist"/>
        <w:numPr>
          <w:ilvl w:val="0"/>
          <w:numId w:val="2"/>
        </w:numPr>
        <w:spacing w:before="240" w:after="160" w:line="259" w:lineRule="auto"/>
        <w:ind w:right="0"/>
      </w:pPr>
      <w:r w:rsidRPr="00791CF8">
        <w:t>Průměrný denní vyměřovací základ</w:t>
      </w:r>
      <w:r w:rsidR="00BF506E">
        <w:t xml:space="preserve"> – </w:t>
      </w:r>
      <w:r w:rsidR="00A81896">
        <w:t>j</w:t>
      </w:r>
      <w:r w:rsidRPr="00791CF8">
        <w:t xml:space="preserve">edná se o </w:t>
      </w:r>
      <w:r w:rsidR="00A81896">
        <w:t xml:space="preserve">orientační </w:t>
      </w:r>
      <w:r w:rsidRPr="00791CF8">
        <w:t>částku</w:t>
      </w:r>
      <w:r w:rsidR="00A81896">
        <w:t>, kterou následně ČSSZ použije pro výpočet dávek nemocenského pojištění</w:t>
      </w:r>
    </w:p>
    <w:p w14:paraId="26399E85" w14:textId="1933BEFA" w:rsidR="00791CF8" w:rsidRPr="00791CF8" w:rsidRDefault="00791CF8" w:rsidP="00791CF8">
      <w:pPr>
        <w:pStyle w:val="Akapitzlist"/>
        <w:numPr>
          <w:ilvl w:val="0"/>
          <w:numId w:val="2"/>
        </w:numPr>
        <w:spacing w:before="240" w:after="160" w:line="259" w:lineRule="auto"/>
        <w:ind w:right="0"/>
      </w:pPr>
      <w:r w:rsidRPr="00791CF8">
        <w:t xml:space="preserve">Průměr pro </w:t>
      </w:r>
      <w:r w:rsidR="00A81896" w:rsidRPr="00791CF8">
        <w:t>náhrady</w:t>
      </w:r>
      <w:r w:rsidR="00A81896">
        <w:t xml:space="preserve"> – vypočítává</w:t>
      </w:r>
      <w:r w:rsidRPr="00791CF8">
        <w:t xml:space="preserve"> se z výdělků předchozího uzavřeného kalendářního čtvrtletí a používá se k proplácení dovolené, náhrady v prvních 14 dnech nemoci, placeného volna apod.</w:t>
      </w:r>
    </w:p>
    <w:p w14:paraId="0B830E17" w14:textId="63F21BFF" w:rsidR="00791CF8" w:rsidRPr="00791CF8" w:rsidRDefault="00DC5552" w:rsidP="00791CF8">
      <w:pPr>
        <w:pStyle w:val="Akapitzlist"/>
        <w:numPr>
          <w:ilvl w:val="0"/>
          <w:numId w:val="2"/>
        </w:numPr>
        <w:spacing w:before="240" w:after="160" w:line="259" w:lineRule="auto"/>
        <w:ind w:right="0"/>
      </w:pPr>
      <w:r>
        <w:t>Údaje o dovolené – zejména c</w:t>
      </w:r>
      <w:r w:rsidR="00791CF8" w:rsidRPr="00791CF8">
        <w:t>elkový nárok na dovolenou, dovolenou již vyčerpanou a zůstatek dovolené v hodinách.</w:t>
      </w:r>
    </w:p>
    <w:p w14:paraId="3DC03D8E" w14:textId="653C6D38" w:rsidR="00791CF8" w:rsidRDefault="00A81896" w:rsidP="00791CF8">
      <w:pPr>
        <w:pStyle w:val="Akapitzlist"/>
        <w:numPr>
          <w:ilvl w:val="0"/>
          <w:numId w:val="2"/>
        </w:numPr>
        <w:spacing w:before="240" w:after="160" w:line="259" w:lineRule="auto"/>
        <w:ind w:right="0"/>
      </w:pPr>
      <w:r>
        <w:t>Veškeré složky mzdy, které ovlivňují výši hrubé mzdy</w:t>
      </w:r>
      <w:r w:rsidR="00DC5552">
        <w:t xml:space="preserve"> a vyměřovacího základu pro odvody pojištění a daní</w:t>
      </w:r>
      <w:r>
        <w:t xml:space="preserve"> – základní mzdu za odpracovanou dobu, příplatky za </w:t>
      </w:r>
      <w:r>
        <w:lastRenderedPageBreak/>
        <w:t>přesčasy, náhrady za neodpracovanou dobu (dovolená, placené volno.) a další složky</w:t>
      </w:r>
      <w:r w:rsidR="00BF506E">
        <w:t>.</w:t>
      </w:r>
    </w:p>
    <w:p w14:paraId="24F1D03D" w14:textId="0B62B813" w:rsidR="00A81896" w:rsidRPr="00791CF8" w:rsidRDefault="00A81896" w:rsidP="00791CF8">
      <w:pPr>
        <w:pStyle w:val="Akapitzlist"/>
        <w:numPr>
          <w:ilvl w:val="0"/>
          <w:numId w:val="2"/>
        </w:numPr>
        <w:spacing w:before="240" w:after="160" w:line="259" w:lineRule="auto"/>
        <w:ind w:right="0"/>
      </w:pPr>
      <w:r>
        <w:t>Případné benefity, které nepodléhají zákonným odvodům, ale jsou zaměstnanci poskytnuty zaměstnavatelem – příspěvek na pojištění, stravenkový paušál a podobně</w:t>
      </w:r>
      <w:r w:rsidR="00BF506E">
        <w:t>.</w:t>
      </w:r>
    </w:p>
    <w:p w14:paraId="13064914" w14:textId="3284C433" w:rsidR="00791CF8" w:rsidRDefault="00A81896" w:rsidP="00791CF8">
      <w:pPr>
        <w:pStyle w:val="Akapitzlist"/>
        <w:numPr>
          <w:ilvl w:val="0"/>
          <w:numId w:val="2"/>
        </w:numPr>
        <w:spacing w:before="240" w:after="160" w:line="259" w:lineRule="auto"/>
        <w:ind w:right="0"/>
      </w:pPr>
      <w:r>
        <w:t>S</w:t>
      </w:r>
      <w:r w:rsidR="00791CF8" w:rsidRPr="00791CF8">
        <w:t xml:space="preserve">rážky ze mzdy či </w:t>
      </w:r>
      <w:r w:rsidRPr="00791CF8">
        <w:t>platu,</w:t>
      </w:r>
      <w:r>
        <w:t xml:space="preserve"> a to jak zákonné (odvody pojištění a daní)</w:t>
      </w:r>
      <w:r w:rsidR="00791CF8" w:rsidRPr="00791CF8">
        <w:t xml:space="preserve">, </w:t>
      </w:r>
      <w:r>
        <w:t xml:space="preserve">tak stanovené soudem </w:t>
      </w:r>
      <w:r w:rsidR="00791CF8" w:rsidRPr="00791CF8">
        <w:t>např. v rámci exekuce či insolvence</w:t>
      </w:r>
      <w:r w:rsidR="00981EF0">
        <w:t>.</w:t>
      </w:r>
      <w:r w:rsidR="00791CF8" w:rsidRPr="00791CF8">
        <w:t xml:space="preserve"> </w:t>
      </w:r>
      <w:r w:rsidR="00981EF0">
        <w:t>Uvádí se zde také</w:t>
      </w:r>
      <w:r w:rsidR="00791CF8" w:rsidRPr="00791CF8">
        <w:t xml:space="preserve"> srážky dobrovolně sjednané (např.</w:t>
      </w:r>
      <w:r w:rsidR="00981EF0">
        <w:t xml:space="preserve"> spoluúčast na</w:t>
      </w:r>
      <w:r w:rsidR="00791CF8" w:rsidRPr="00791CF8">
        <w:t xml:space="preserve"> zaměstnavatelem</w:t>
      </w:r>
      <w:r w:rsidR="00981EF0">
        <w:t xml:space="preserve"> </w:t>
      </w:r>
      <w:r w:rsidR="00791CF8" w:rsidRPr="00791CF8">
        <w:t>poskytovan</w:t>
      </w:r>
      <w:r w:rsidR="00791CF8">
        <w:t>é</w:t>
      </w:r>
      <w:r w:rsidR="00791CF8" w:rsidRPr="00791CF8">
        <w:t xml:space="preserve"> jazykov</w:t>
      </w:r>
      <w:r w:rsidR="00791CF8">
        <w:t>é kurzy</w:t>
      </w:r>
      <w:r w:rsidR="00981EF0">
        <w:t>, kartu Multisport</w:t>
      </w:r>
      <w:r w:rsidR="00791CF8">
        <w:t xml:space="preserve"> apod.)</w:t>
      </w:r>
      <w:r w:rsidR="00791CF8" w:rsidRPr="00791CF8">
        <w:t>.</w:t>
      </w:r>
    </w:p>
    <w:p w14:paraId="6324E081" w14:textId="77777777" w:rsidR="00981EF0" w:rsidRPr="00791CF8" w:rsidRDefault="00981EF0" w:rsidP="00981EF0">
      <w:pPr>
        <w:pStyle w:val="Akapitzlist"/>
        <w:spacing w:before="240" w:after="160" w:line="259" w:lineRule="auto"/>
        <w:ind w:left="1440" w:right="0"/>
      </w:pPr>
    </w:p>
    <w:p w14:paraId="38A2C634" w14:textId="2E40EFA4" w:rsidR="00791CF8" w:rsidRPr="0018117B" w:rsidRDefault="00791CF8" w:rsidP="00791CF8">
      <w:pPr>
        <w:spacing w:after="160" w:line="259" w:lineRule="auto"/>
        <w:ind w:right="0"/>
        <w:rPr>
          <w:b/>
          <w:bCs/>
        </w:rPr>
      </w:pPr>
      <w:r w:rsidRPr="0018117B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4046D79" wp14:editId="08E38FC1">
            <wp:simplePos x="0" y="0"/>
            <wp:positionH relativeFrom="page">
              <wp:posOffset>829310</wp:posOffset>
            </wp:positionH>
            <wp:positionV relativeFrom="paragraph">
              <wp:posOffset>332105</wp:posOffset>
            </wp:positionV>
            <wp:extent cx="5358765" cy="3055620"/>
            <wp:effectExtent l="0" t="0" r="0" b="0"/>
            <wp:wrapTopAndBottom/>
            <wp:docPr id="375328327" name="Obrázek 1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328327" name="Obrázek 1" descr="Obsah obrázku text, snímek obrazovky, číslo, Písmo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17B">
        <w:rPr>
          <w:b/>
          <w:bCs/>
        </w:rPr>
        <w:t>Ilustrační výplatní páska</w:t>
      </w:r>
    </w:p>
    <w:p w14:paraId="52EC992F" w14:textId="16485852" w:rsidR="00791CF8" w:rsidRPr="00791CF8" w:rsidRDefault="00791CF8" w:rsidP="00791CF8">
      <w:pPr>
        <w:spacing w:after="160" w:line="259" w:lineRule="auto"/>
        <w:ind w:left="1080" w:right="0"/>
      </w:pPr>
    </w:p>
    <w:p w14:paraId="0F7746D7" w14:textId="71DF3E95" w:rsidR="0018117B" w:rsidRDefault="0018117B" w:rsidP="0018117B">
      <w:pPr>
        <w:spacing w:line="259" w:lineRule="auto"/>
        <w:ind w:left="0" w:firstLine="720"/>
        <w:jc w:val="both"/>
        <w:rPr>
          <w:b/>
          <w:bCs/>
          <w:color w:val="4C565C"/>
        </w:rPr>
      </w:pPr>
      <w:r>
        <w:rPr>
          <w:b/>
          <w:bCs/>
          <w:color w:val="4C565C"/>
        </w:rPr>
        <w:t>Mzdový list</w:t>
      </w:r>
    </w:p>
    <w:p w14:paraId="1739635C" w14:textId="30685DD6" w:rsidR="00F64CEC" w:rsidRDefault="00C90BC0" w:rsidP="00F64CEC">
      <w:pPr>
        <w:jc w:val="both"/>
        <w:rPr>
          <w:color w:val="4C565C"/>
        </w:rPr>
      </w:pPr>
      <w:r>
        <w:rPr>
          <w:color w:val="4C565C"/>
        </w:rPr>
        <w:t>Mzdový list je zaměstnavatel povinen založit každému svému zaměstnanci</w:t>
      </w:r>
      <w:r w:rsidR="001E6A33">
        <w:rPr>
          <w:color w:val="4C565C"/>
        </w:rPr>
        <w:t>. Zaměstnanec t</w:t>
      </w:r>
      <w:r>
        <w:rPr>
          <w:color w:val="4C565C"/>
        </w:rPr>
        <w:t>ento dokument jako takový nikdy neobdrží –</w:t>
      </w:r>
      <w:r w:rsidR="00DB728C">
        <w:rPr>
          <w:color w:val="4C565C"/>
        </w:rPr>
        <w:t xml:space="preserve"> na </w:t>
      </w:r>
      <w:r>
        <w:rPr>
          <w:color w:val="4C565C"/>
        </w:rPr>
        <w:t>rozdíl od výplatní pásky</w:t>
      </w:r>
      <w:r w:rsidR="00DB728C">
        <w:rPr>
          <w:color w:val="4C565C"/>
        </w:rPr>
        <w:t xml:space="preserve"> neslouží </w:t>
      </w:r>
      <w:r>
        <w:rPr>
          <w:color w:val="4C565C"/>
        </w:rPr>
        <w:t xml:space="preserve">jako </w:t>
      </w:r>
      <w:r w:rsidR="001E6A33">
        <w:rPr>
          <w:color w:val="4C565C"/>
        </w:rPr>
        <w:t xml:space="preserve">informativní </w:t>
      </w:r>
      <w:r>
        <w:rPr>
          <w:color w:val="4C565C"/>
        </w:rPr>
        <w:t>dokument pro zaměstnance, ale je velmi důležitý pro zaměstnavatele, Finanční správu (zaměstnanci dostávají pro daňové účely potvrzení o zdanitelných příjmech) a Českou správu sociálního zabezpečení (pro důchodové účely zaměstnanci dostávají evidenční listy důchodového pojištění</w:t>
      </w:r>
      <w:r w:rsidR="00DB728C">
        <w:rPr>
          <w:color w:val="4C565C"/>
        </w:rPr>
        <w:t xml:space="preserve">, </w:t>
      </w:r>
      <w:r w:rsidR="00DB728C">
        <w:rPr>
          <w:color w:val="4C565C"/>
        </w:rPr>
        <w:lastRenderedPageBreak/>
        <w:t>jimž jsme se věnovali v jednom z našich předchozích článků</w:t>
      </w:r>
      <w:r w:rsidR="00240670">
        <w:rPr>
          <w:color w:val="4C565C"/>
        </w:rPr>
        <w:t>; na základě mzdového listu je nicméně možné ELDP vystavit znovu</w:t>
      </w:r>
      <w:r w:rsidR="00DB728C">
        <w:rPr>
          <w:color w:val="4C565C"/>
        </w:rPr>
        <w:t>).</w:t>
      </w:r>
      <w:r>
        <w:rPr>
          <w:color w:val="4C565C"/>
        </w:rPr>
        <w:t xml:space="preserve"> </w:t>
      </w:r>
      <w:r w:rsidR="003E27B0">
        <w:rPr>
          <w:color w:val="4C565C"/>
        </w:rPr>
        <w:t xml:space="preserve">Mzdové listy se musí uchovávat po dobu 45 kalendářních </w:t>
      </w:r>
      <w:r w:rsidR="00E47EBC">
        <w:rPr>
          <w:color w:val="4C565C"/>
        </w:rPr>
        <w:t>let</w:t>
      </w:r>
      <w:r w:rsidR="003E27B0">
        <w:rPr>
          <w:color w:val="4C565C"/>
        </w:rPr>
        <w:t xml:space="preserve"> následujících po roce, kterého se týkají</w:t>
      </w:r>
      <w:r w:rsidR="00E47EBC">
        <w:rPr>
          <w:color w:val="4C565C"/>
        </w:rPr>
        <w:t>.</w:t>
      </w:r>
    </w:p>
    <w:p w14:paraId="0C6DCF08" w14:textId="616F76FF" w:rsidR="003E27B0" w:rsidRDefault="00240670" w:rsidP="00F64CEC">
      <w:pPr>
        <w:jc w:val="both"/>
        <w:rPr>
          <w:color w:val="4C565C"/>
        </w:rPr>
      </w:pPr>
      <w:r>
        <w:rPr>
          <w:color w:val="4C565C"/>
        </w:rPr>
        <w:t xml:space="preserve">Náležitosti mzdového listu jsou podrobně definovány v </w:t>
      </w:r>
      <w:r w:rsidRPr="00240670">
        <w:rPr>
          <w:color w:val="4C565C"/>
        </w:rPr>
        <w:t>§ 38j</w:t>
      </w:r>
      <w:r>
        <w:rPr>
          <w:color w:val="4C565C"/>
        </w:rPr>
        <w:t xml:space="preserve"> z</w:t>
      </w:r>
      <w:r w:rsidRPr="00240670">
        <w:rPr>
          <w:color w:val="4C565C"/>
        </w:rPr>
        <w:t>ákon</w:t>
      </w:r>
      <w:r>
        <w:rPr>
          <w:color w:val="4C565C"/>
        </w:rPr>
        <w:t>a</w:t>
      </w:r>
      <w:r w:rsidRPr="00240670">
        <w:rPr>
          <w:color w:val="4C565C"/>
        </w:rPr>
        <w:t xml:space="preserve"> č. 586/1992 Sb.</w:t>
      </w:r>
      <w:r>
        <w:rPr>
          <w:color w:val="4C565C"/>
        </w:rPr>
        <w:t xml:space="preserve"> Mimo jiné zahrnují:</w:t>
      </w:r>
    </w:p>
    <w:p w14:paraId="6584157E" w14:textId="6476C2A4" w:rsidR="00F64CEC" w:rsidRPr="00240670" w:rsidRDefault="003E27B0" w:rsidP="00240670">
      <w:pPr>
        <w:pStyle w:val="Akapitzlist"/>
        <w:numPr>
          <w:ilvl w:val="0"/>
          <w:numId w:val="3"/>
        </w:numPr>
        <w:jc w:val="both"/>
        <w:rPr>
          <w:b/>
          <w:bCs/>
          <w:color w:val="4C565C"/>
        </w:rPr>
      </w:pPr>
      <w:r>
        <w:rPr>
          <w:color w:val="4C565C"/>
        </w:rPr>
        <w:t>Poplatníkovo jméno (i dřívější) a rodné číslo</w:t>
      </w:r>
      <w:r w:rsidR="00240670">
        <w:rPr>
          <w:color w:val="4C565C"/>
        </w:rPr>
        <w:t xml:space="preserve"> a bydliště.</w:t>
      </w:r>
    </w:p>
    <w:p w14:paraId="559D600A" w14:textId="69CCDA66" w:rsidR="00240670" w:rsidRPr="00240670" w:rsidRDefault="00240670" w:rsidP="00240670">
      <w:pPr>
        <w:pStyle w:val="Akapitzlist"/>
        <w:numPr>
          <w:ilvl w:val="0"/>
          <w:numId w:val="3"/>
        </w:numPr>
        <w:jc w:val="both"/>
        <w:rPr>
          <w:b/>
          <w:bCs/>
          <w:color w:val="4C565C"/>
        </w:rPr>
      </w:pPr>
      <w:r>
        <w:rPr>
          <w:color w:val="4C565C"/>
        </w:rPr>
        <w:t>Jméno a rodné číslo osoby, na kterou poplatník uplatňuje nárok pro snížení daně, slevu na dani a daňové zvýhodnění, výši jednotlivých nezdanitelných částek základu daně aj.</w:t>
      </w:r>
    </w:p>
    <w:p w14:paraId="18D788DD" w14:textId="224F90DB" w:rsidR="00240670" w:rsidRPr="00240670" w:rsidRDefault="00240670" w:rsidP="00240670">
      <w:pPr>
        <w:pStyle w:val="Akapitzlist"/>
        <w:numPr>
          <w:ilvl w:val="0"/>
          <w:numId w:val="3"/>
        </w:numPr>
        <w:jc w:val="both"/>
        <w:rPr>
          <w:b/>
          <w:bCs/>
          <w:color w:val="4C565C"/>
        </w:rPr>
      </w:pPr>
      <w:r>
        <w:rPr>
          <w:color w:val="4C565C"/>
        </w:rPr>
        <w:t>Den nástupu poplatníka do zaměstnání.</w:t>
      </w:r>
    </w:p>
    <w:p w14:paraId="457579F9" w14:textId="421E2642" w:rsidR="00791CF8" w:rsidRPr="00E47EBC" w:rsidRDefault="00240670" w:rsidP="00E47EBC">
      <w:pPr>
        <w:pStyle w:val="Akapitzlist"/>
        <w:numPr>
          <w:ilvl w:val="0"/>
          <w:numId w:val="3"/>
        </w:numPr>
        <w:jc w:val="both"/>
        <w:rPr>
          <w:b/>
          <w:bCs/>
          <w:color w:val="4C565C"/>
        </w:rPr>
      </w:pPr>
      <w:r>
        <w:rPr>
          <w:color w:val="4C565C"/>
        </w:rPr>
        <w:t>Za každý kalendářní měsíc úhrn zúčtovaných mezd, částky osvobozené od daně z úhrnu zúčtovaných mezd, základ pro výpočet zálohy na daň nebo daně podle zvláštní sazby, vypočten</w:t>
      </w:r>
      <w:r w:rsidR="00E47EBC">
        <w:rPr>
          <w:color w:val="4C565C"/>
        </w:rPr>
        <w:t>ou</w:t>
      </w:r>
      <w:r>
        <w:rPr>
          <w:color w:val="4C565C"/>
        </w:rPr>
        <w:t xml:space="preserve"> </w:t>
      </w:r>
      <w:r w:rsidR="00E47EBC">
        <w:rPr>
          <w:color w:val="4C565C"/>
        </w:rPr>
        <w:t>zálohu na daň nebo daň sraženou podle zvláštní sazby daně, měsíční slevu na dani a zálohu sníženou o případnou měsíční slevu na dani, výši měsíčního daňového zvýhodnění, aj.</w:t>
      </w:r>
    </w:p>
    <w:p w14:paraId="708E7ED2" w14:textId="169AE571" w:rsidR="00E47EBC" w:rsidRPr="00E47EBC" w:rsidRDefault="00E47EBC" w:rsidP="00E47EBC">
      <w:pPr>
        <w:pStyle w:val="Akapitzlist"/>
        <w:numPr>
          <w:ilvl w:val="0"/>
          <w:numId w:val="3"/>
        </w:numPr>
        <w:jc w:val="both"/>
        <w:rPr>
          <w:b/>
          <w:bCs/>
          <w:color w:val="4C565C"/>
        </w:rPr>
      </w:pPr>
      <w:r>
        <w:rPr>
          <w:color w:val="4C565C"/>
        </w:rPr>
        <w:t>Údaje o výpočtu daně a provedeném ročním zúčtování záloh a daňového zvýhodnění atd.</w:t>
      </w:r>
    </w:p>
    <w:p w14:paraId="5085D4E1" w14:textId="347350A5" w:rsidR="00E47EBC" w:rsidRPr="00E47EBC" w:rsidRDefault="001E6A33" w:rsidP="00E47EBC">
      <w:pPr>
        <w:jc w:val="both"/>
        <w:rPr>
          <w:color w:val="4C565C"/>
        </w:rPr>
      </w:pPr>
      <w:r>
        <w:rPr>
          <w:color w:val="4C565C"/>
        </w:rPr>
        <w:t>Upozorňujeme</w:t>
      </w:r>
      <w:r w:rsidR="00E47EBC">
        <w:rPr>
          <w:color w:val="4C565C"/>
        </w:rPr>
        <w:t xml:space="preserve">, </w:t>
      </w:r>
      <w:r>
        <w:rPr>
          <w:color w:val="4C565C"/>
        </w:rPr>
        <w:t xml:space="preserve">že </w:t>
      </w:r>
      <w:r w:rsidR="00E47EBC">
        <w:rPr>
          <w:color w:val="4C565C"/>
        </w:rPr>
        <w:t>náležitosti se mohou lišit pro daňové nerezidenty ČR a jsou k nahlédnutí ve výše uvedeném zákoně.</w:t>
      </w:r>
    </w:p>
    <w:p w14:paraId="46D50F69" w14:textId="479ED85E" w:rsidR="00791CF8" w:rsidRPr="00791CF8" w:rsidRDefault="00E47EBC" w:rsidP="00791CF8">
      <w:pPr>
        <w:pStyle w:val="Akapitzlist"/>
      </w:pPr>
      <w:r>
        <w:t>Budete-li mít k výplatním páskám či mzdovým listům jakékoliv dotazy, velmi rádi je zodpovíme či podrobněji rozpracujeme v některém z následujících článků.</w:t>
      </w:r>
    </w:p>
    <w:p w14:paraId="49C5BE30" w14:textId="77777777" w:rsidR="00E47EBC" w:rsidRDefault="00E11DC6" w:rsidP="00E47EBC">
      <w:pPr>
        <w:tabs>
          <w:tab w:val="left" w:pos="7105"/>
        </w:tabs>
        <w:jc w:val="both"/>
        <w:rPr>
          <w:color w:val="4C565C"/>
        </w:rPr>
      </w:pPr>
      <w:r w:rsidRPr="00791CF8">
        <w:rPr>
          <w:b/>
          <w:bCs/>
          <w:color w:val="4C565C"/>
        </w:rPr>
        <w:t>Payroll Team</w:t>
      </w:r>
    </w:p>
    <w:p w14:paraId="3E8A712E" w14:textId="2EE49663" w:rsidR="00E11DC6" w:rsidRPr="001E6A33" w:rsidRDefault="00E11DC6" w:rsidP="001E6A33">
      <w:pPr>
        <w:tabs>
          <w:tab w:val="left" w:pos="7105"/>
        </w:tabs>
        <w:jc w:val="both"/>
        <w:rPr>
          <w:color w:val="4C565C"/>
        </w:rPr>
      </w:pPr>
      <w:r w:rsidRPr="00791CF8">
        <w:rPr>
          <w:b/>
          <w:bCs/>
          <w:color w:val="4C565C"/>
        </w:rPr>
        <w:t>ASB Group | Czech Republic</w:t>
      </w:r>
    </w:p>
    <w:p w14:paraId="6024BC6A" w14:textId="77777777" w:rsidR="00E11DC6" w:rsidRPr="00791CF8" w:rsidRDefault="00E11DC6" w:rsidP="00E11DC6">
      <w:pPr>
        <w:contextualSpacing/>
        <w:jc w:val="both"/>
        <w:rPr>
          <w:rFonts w:cs="Open Sans Light"/>
          <w:color w:val="4C565C"/>
        </w:rPr>
      </w:pPr>
      <w:r w:rsidRPr="00791CF8">
        <w:rPr>
          <w:b/>
          <w:bCs/>
          <w:color w:val="4C565C"/>
        </w:rPr>
        <w:t>Kristýna Pospíšilová</w:t>
      </w:r>
      <w:r w:rsidRPr="00791CF8">
        <w:tab/>
      </w:r>
      <w:r w:rsidRPr="00791CF8">
        <w:tab/>
      </w:r>
      <w:r w:rsidRPr="00791CF8">
        <w:tab/>
      </w:r>
      <w:r w:rsidRPr="00791CF8">
        <w:tab/>
      </w:r>
      <w:r w:rsidRPr="00791CF8">
        <w:rPr>
          <w:color w:val="4C565C"/>
        </w:rPr>
        <w:t xml:space="preserve"> </w:t>
      </w:r>
    </w:p>
    <w:p w14:paraId="18A2E9AB" w14:textId="126A1DEC" w:rsidR="00E11DC6" w:rsidRPr="001E6A33" w:rsidRDefault="00E11DC6" w:rsidP="001E6A33">
      <w:pPr>
        <w:contextualSpacing/>
        <w:jc w:val="both"/>
        <w:rPr>
          <w:rFonts w:cs="Open Sans Light"/>
          <w:b/>
          <w:bCs/>
          <w:color w:val="C3D600"/>
        </w:rPr>
      </w:pPr>
      <w:r w:rsidRPr="00791CF8">
        <w:rPr>
          <w:rFonts w:cs="Open Sans Light"/>
          <w:color w:val="C3D600"/>
        </w:rPr>
        <w:t>Junior Payroll Consultant</w:t>
      </w:r>
      <w:r w:rsidRPr="00791CF8">
        <w:tab/>
      </w:r>
      <w:r w:rsidRPr="00791CF8">
        <w:tab/>
      </w:r>
      <w:r w:rsidRPr="00791CF8">
        <w:tab/>
      </w:r>
      <w:r w:rsidRPr="00791CF8">
        <w:tab/>
      </w:r>
      <w:r w:rsidRPr="00791CF8">
        <w:tab/>
      </w:r>
      <w:r w:rsidRPr="00791CF8">
        <w:rPr>
          <w:rFonts w:cs="Open Sans Light"/>
          <w:color w:val="C3D600"/>
        </w:rPr>
        <w:t xml:space="preserve"> </w:t>
      </w:r>
    </w:p>
    <w:p w14:paraId="3CEB1478" w14:textId="77777777" w:rsidR="00E11DC6" w:rsidRPr="00791CF8" w:rsidRDefault="00E11DC6" w:rsidP="00E11DC6">
      <w:pPr>
        <w:spacing w:after="0"/>
        <w:rPr>
          <w:color w:val="4C565C"/>
        </w:rPr>
      </w:pPr>
      <w:r w:rsidRPr="00791CF8">
        <w:rPr>
          <w:color w:val="4C565C"/>
        </w:rPr>
        <w:t xml:space="preserve">E: </w:t>
      </w:r>
      <w:hyperlink r:id="rId8" w:history="1">
        <w:r w:rsidRPr="00791CF8">
          <w:rPr>
            <w:rStyle w:val="Hipercze"/>
          </w:rPr>
          <w:t>kpospisilova@asbgroup.eu</w:t>
        </w:r>
      </w:hyperlink>
    </w:p>
    <w:p w14:paraId="6E0BB3BC" w14:textId="0C0AA4EE" w:rsidR="008E025E" w:rsidRPr="001E6A33" w:rsidRDefault="00E11DC6" w:rsidP="001E6A33">
      <w:pPr>
        <w:spacing w:after="0"/>
        <w:rPr>
          <w:color w:val="455560"/>
        </w:rPr>
      </w:pPr>
      <w:r w:rsidRPr="00791CF8">
        <w:rPr>
          <w:color w:val="4C565C"/>
        </w:rPr>
        <w:t>Phone: +420 224 931 366</w:t>
      </w:r>
    </w:p>
    <w:sectPr w:rsidR="008E025E" w:rsidRPr="001E6A33" w:rsidSect="0015234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51" w:right="1134" w:bottom="567" w:left="720" w:header="1846" w:footer="56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B705" w14:textId="77777777" w:rsidR="0015234E" w:rsidRDefault="0015234E">
      <w:pPr>
        <w:spacing w:before="0" w:after="0"/>
      </w:pPr>
      <w:r>
        <w:separator/>
      </w:r>
    </w:p>
  </w:endnote>
  <w:endnote w:type="continuationSeparator" w:id="0">
    <w:p w14:paraId="4DE1E55D" w14:textId="77777777" w:rsidR="0015234E" w:rsidRDefault="001523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C7E0" w14:textId="77777777" w:rsidR="00322616" w:rsidRPr="00F2118D" w:rsidRDefault="00322616" w:rsidP="00096EC0">
    <w:pPr>
      <w:pStyle w:val="BasicParagraph"/>
    </w:pPr>
  </w:p>
  <w:p w14:paraId="570BAFEB" w14:textId="77777777" w:rsidR="00322616" w:rsidRPr="00F2118D" w:rsidRDefault="00322616" w:rsidP="00530E86">
    <w:pPr>
      <w:autoSpaceDE w:val="0"/>
      <w:autoSpaceDN w:val="0"/>
      <w:adjustRightInd w:val="0"/>
      <w:spacing w:before="0" w:after="0" w:line="288" w:lineRule="auto"/>
      <w:ind w:left="0" w:right="0"/>
      <w:textAlignment w:val="center"/>
      <w:rPr>
        <w:rFonts w:ascii="Open Sans SemiBold" w:eastAsiaTheme="minorEastAsia" w:hAnsi="Open Sans SemiBold" w:cs="Open Sans SemiBold"/>
        <w:color w:val="313D48"/>
        <w:kern w:val="0"/>
        <w:sz w:val="12"/>
        <w:szCs w:val="12"/>
      </w:rPr>
    </w:pPr>
  </w:p>
  <w:p w14:paraId="7668B883" w14:textId="77777777" w:rsidR="00322616" w:rsidRPr="00F2118D" w:rsidRDefault="00C84EB6" w:rsidP="001C6CD7">
    <w:pPr>
      <w:pStyle w:val="Stopka"/>
    </w:pPr>
    <w:r w:rsidRPr="00F2118D">
      <w:t>IČ 47902728 / DIČ CZ47902728</w:t>
    </w:r>
    <w:r w:rsidRPr="00F2118D">
      <w:br/>
      <w:t xml:space="preserve">Společnost je zapsána v obchodním rejstříku vedeném městským soudem v praze, oddíl c, vložka 54606. </w:t>
    </w:r>
    <w:r w:rsidRPr="00F2118D">
      <w:br/>
      <w:t>The company is registered in the commercial register administered by the municipal court in prague, section c, inset 54606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7FAD" w14:textId="77777777" w:rsidR="00322616" w:rsidRPr="00F2118D" w:rsidRDefault="00322616" w:rsidP="00EB37EA">
    <w:pPr>
      <w:autoSpaceDE w:val="0"/>
      <w:autoSpaceDN w:val="0"/>
      <w:adjustRightInd w:val="0"/>
      <w:spacing w:before="0" w:after="0" w:line="288" w:lineRule="auto"/>
      <w:ind w:left="0" w:right="0"/>
      <w:textAlignment w:val="center"/>
      <w:rPr>
        <w:rFonts w:ascii="Open Sans" w:eastAsiaTheme="minorEastAsia" w:hAnsi="Open Sans" w:cs="Open Sans"/>
        <w:color w:val="313D48"/>
        <w:spacing w:val="6"/>
        <w:kern w:val="0"/>
        <w:sz w:val="12"/>
        <w:szCs w:val="12"/>
      </w:rPr>
    </w:pPr>
  </w:p>
  <w:p w14:paraId="4F14C6D8" w14:textId="77777777" w:rsidR="00322616" w:rsidRPr="00F2118D" w:rsidRDefault="00C84EB6" w:rsidP="00C160D2">
    <w:pPr>
      <w:pStyle w:val="Stopka"/>
      <w:spacing w:line="240" w:lineRule="auto"/>
      <w:rPr>
        <w:rFonts w:ascii="Open Sans" w:hAnsi="Open Sans" w:cs="Open Sans"/>
        <w:sz w:val="14"/>
        <w:szCs w:val="14"/>
      </w:rPr>
    </w:pPr>
    <w:r w:rsidRPr="00F2118D">
      <w:rPr>
        <w:rFonts w:ascii="Open Sans" w:hAnsi="Open Sans" w:cs="Open Sans"/>
        <w:sz w:val="16"/>
        <w:szCs w:val="16"/>
      </w:rPr>
      <w:t xml:space="preserve">ASB </w:t>
    </w:r>
    <w:r w:rsidRPr="00F2118D">
      <w:rPr>
        <w:rFonts w:ascii="Open Sans" w:hAnsi="Open Sans" w:cs="Open Sans"/>
        <w:caps w:val="0"/>
        <w:sz w:val="16"/>
        <w:szCs w:val="16"/>
      </w:rPr>
      <w:t>Czech Republic</w:t>
    </w:r>
    <w:r w:rsidRPr="00F2118D">
      <w:rPr>
        <w:rFonts w:ascii="Open Sans" w:hAnsi="Open Sans" w:cs="Open Sans"/>
        <w:sz w:val="16"/>
        <w:szCs w:val="16"/>
      </w:rPr>
      <w:t xml:space="preserve">, </w:t>
    </w:r>
    <w:r w:rsidRPr="00F2118D">
      <w:rPr>
        <w:rFonts w:ascii="Open Sans" w:hAnsi="Open Sans" w:cs="Open Sans"/>
        <w:caps w:val="0"/>
        <w:sz w:val="16"/>
        <w:szCs w:val="16"/>
      </w:rPr>
      <w:t>s.r.o.</w:t>
    </w:r>
    <w:r w:rsidRPr="00F2118D">
      <w:rPr>
        <w:rFonts w:ascii="Open Sans" w:hAnsi="Open Sans" w:cs="Open Sans"/>
        <w:sz w:val="14"/>
        <w:szCs w:val="14"/>
      </w:rPr>
      <w:t xml:space="preserve"> </w:t>
    </w:r>
    <w:r w:rsidRPr="00F2118D">
      <w:rPr>
        <w:rFonts w:ascii="Open Sans" w:hAnsi="Open Sans" w:cs="Open Sans"/>
        <w:color w:val="BDD73E"/>
        <w:sz w:val="11"/>
        <w:szCs w:val="11"/>
      </w:rPr>
      <w:t>ADDRESS</w:t>
    </w:r>
    <w:r w:rsidRPr="00F2118D">
      <w:rPr>
        <w:rFonts w:ascii="Open Sans" w:hAnsi="Open Sans" w:cs="Open Sans"/>
        <w:sz w:val="14"/>
        <w:szCs w:val="14"/>
      </w:rPr>
      <w:t xml:space="preserve"> </w:t>
    </w:r>
    <w:r w:rsidRPr="00F2118D">
      <w:rPr>
        <w:rFonts w:ascii="Open Sans" w:hAnsi="Open Sans" w:cs="Open Sans"/>
        <w:caps w:val="0"/>
        <w:sz w:val="14"/>
        <w:szCs w:val="14"/>
      </w:rPr>
      <w:t>V Celnici 1031/4, 110 00 Praha 1, Czech Republic</w:t>
    </w:r>
    <w:r w:rsidRPr="00F2118D">
      <w:rPr>
        <w:rFonts w:ascii="Open Sans" w:hAnsi="Open Sans" w:cs="Open Sans"/>
        <w:sz w:val="14"/>
        <w:szCs w:val="14"/>
      </w:rPr>
      <w:t xml:space="preserve"> </w:t>
    </w:r>
    <w:r w:rsidRPr="00F2118D">
      <w:rPr>
        <w:rFonts w:ascii="Open Sans" w:hAnsi="Open Sans" w:cs="Open Sans"/>
        <w:color w:val="BDD73E"/>
        <w:sz w:val="11"/>
        <w:szCs w:val="11"/>
      </w:rPr>
      <w:t>PHONE</w:t>
    </w:r>
    <w:r w:rsidRPr="00F2118D">
      <w:rPr>
        <w:rFonts w:ascii="Open Sans" w:hAnsi="Open Sans" w:cs="Open Sans"/>
        <w:sz w:val="14"/>
        <w:szCs w:val="14"/>
      </w:rPr>
      <w:t xml:space="preserve"> +420 224 931 366 </w:t>
    </w:r>
  </w:p>
  <w:p w14:paraId="6B1D32BE" w14:textId="77777777" w:rsidR="00322616" w:rsidRPr="00F2118D" w:rsidRDefault="00C84EB6" w:rsidP="00C160D2">
    <w:pPr>
      <w:pStyle w:val="Stopka"/>
      <w:spacing w:line="288" w:lineRule="auto"/>
      <w:rPr>
        <w:rFonts w:ascii="Open Sans" w:hAnsi="Open Sans" w:cs="Open Sans"/>
        <w:sz w:val="14"/>
        <w:szCs w:val="14"/>
      </w:rPr>
    </w:pPr>
    <w:r w:rsidRPr="00F2118D">
      <w:rPr>
        <w:rFonts w:ascii="Open Sans" w:hAnsi="Open Sans" w:cs="Open Sans"/>
        <w:color w:val="BDD73E"/>
        <w:sz w:val="11"/>
        <w:szCs w:val="11"/>
      </w:rPr>
      <w:t>EMAIL</w:t>
    </w:r>
    <w:r w:rsidRPr="00F2118D">
      <w:rPr>
        <w:rFonts w:ascii="Open Sans" w:hAnsi="Open Sans" w:cs="Open Sans"/>
        <w:sz w:val="14"/>
        <w:szCs w:val="14"/>
      </w:rPr>
      <w:t xml:space="preserve"> </w:t>
    </w:r>
    <w:hyperlink r:id="rId1" w:history="1">
      <w:r w:rsidRPr="00F2118D">
        <w:rPr>
          <w:rFonts w:ascii="Open Sans" w:hAnsi="Open Sans" w:cs="Open Sans"/>
          <w:caps w:val="0"/>
          <w:sz w:val="14"/>
          <w:szCs w:val="14"/>
        </w:rPr>
        <w:t>prague@asbgroup.eu</w:t>
      </w:r>
    </w:hyperlink>
    <w:r w:rsidRPr="00F2118D">
      <w:rPr>
        <w:rFonts w:ascii="Open Sans" w:hAnsi="Open Sans" w:cs="Open Sans"/>
        <w:sz w:val="14"/>
        <w:szCs w:val="14"/>
      </w:rPr>
      <w:t xml:space="preserve"> </w:t>
    </w:r>
    <w:r w:rsidRPr="00F2118D">
      <w:rPr>
        <w:rFonts w:ascii="Open Sans" w:hAnsi="Open Sans" w:cs="Open Sans"/>
        <w:color w:val="BDD73E"/>
        <w:sz w:val="11"/>
        <w:szCs w:val="11"/>
      </w:rPr>
      <w:t>WEB</w:t>
    </w:r>
    <w:r w:rsidRPr="00F2118D">
      <w:rPr>
        <w:rFonts w:ascii="Open Sans" w:hAnsi="Open Sans" w:cs="Open Sans"/>
        <w:sz w:val="14"/>
        <w:szCs w:val="14"/>
      </w:rPr>
      <w:t xml:space="preserve"> </w:t>
    </w:r>
    <w:hyperlink r:id="rId2" w:history="1">
      <w:r w:rsidRPr="00F2118D">
        <w:rPr>
          <w:rFonts w:ascii="Open Sans" w:hAnsi="Open Sans" w:cs="Open Sans"/>
          <w:caps w:val="0"/>
          <w:sz w:val="14"/>
          <w:szCs w:val="14"/>
        </w:rPr>
        <w:t>www.asbgroup.eu</w:t>
      </w:r>
    </w:hyperlink>
    <w:r w:rsidRPr="00F2118D">
      <w:rPr>
        <w:rFonts w:ascii="Open Sans" w:hAnsi="Open Sans" w:cs="Open Sans"/>
      </w:rPr>
      <w:t xml:space="preserve"> </w:t>
    </w:r>
    <w:r w:rsidRPr="00F2118D">
      <w:rPr>
        <w:rFonts w:ascii="Open Sans" w:hAnsi="Open Sans" w:cs="Open Sans"/>
        <w:color w:val="BDD73E"/>
        <w:sz w:val="11"/>
        <w:szCs w:val="11"/>
      </w:rPr>
      <w:t>IČO</w:t>
    </w:r>
    <w:r w:rsidRPr="00F2118D">
      <w:rPr>
        <w:rFonts w:ascii="Open Sans" w:hAnsi="Open Sans" w:cs="Open Sans"/>
        <w:sz w:val="14"/>
        <w:szCs w:val="14"/>
      </w:rPr>
      <w:t xml:space="preserve"> 27215849 </w:t>
    </w:r>
    <w:r w:rsidRPr="00F2118D">
      <w:rPr>
        <w:rFonts w:ascii="Open Sans" w:hAnsi="Open Sans" w:cs="Open Sans"/>
        <w:color w:val="BDD73E"/>
        <w:sz w:val="11"/>
        <w:szCs w:val="11"/>
      </w:rPr>
      <w:t>DIČ</w:t>
    </w:r>
    <w:r w:rsidRPr="00F2118D">
      <w:rPr>
        <w:rFonts w:ascii="Open Sans" w:hAnsi="Open Sans" w:cs="Open Sans"/>
        <w:sz w:val="14"/>
        <w:szCs w:val="14"/>
      </w:rPr>
      <w:t xml:space="preserve"> CZ27215849</w:t>
    </w:r>
  </w:p>
  <w:p w14:paraId="5A30A0E7" w14:textId="77777777" w:rsidR="00322616" w:rsidRPr="00F2118D" w:rsidRDefault="00C84EB6" w:rsidP="00C160D2">
    <w:pPr>
      <w:pStyle w:val="Stopka"/>
      <w:spacing w:line="288" w:lineRule="auto"/>
      <w:rPr>
        <w:rFonts w:ascii="Open Sans" w:hAnsi="Open Sans" w:cs="Open Sans"/>
        <w:sz w:val="11"/>
        <w:szCs w:val="11"/>
      </w:rPr>
    </w:pPr>
    <w:r w:rsidRPr="00F2118D">
      <w:rPr>
        <w:rFonts w:ascii="Open Sans" w:hAnsi="Open Sans" w:cs="Open Sans"/>
        <w:sz w:val="11"/>
        <w:szCs w:val="11"/>
      </w:rPr>
      <w:t xml:space="preserve">Společnost je zapsána v obchodním rejstříku vedeném městským soudem v praze, oddíl c, vložka 105100 </w:t>
    </w:r>
  </w:p>
  <w:p w14:paraId="16999DC1" w14:textId="77777777" w:rsidR="00322616" w:rsidRPr="00F2118D" w:rsidRDefault="00C84EB6" w:rsidP="00C160D2">
    <w:pPr>
      <w:pStyle w:val="Stopka"/>
      <w:spacing w:line="288" w:lineRule="auto"/>
      <w:rPr>
        <w:rFonts w:ascii="Open Sans" w:hAnsi="Open Sans" w:cs="Open Sans"/>
      </w:rPr>
    </w:pPr>
    <w:r w:rsidRPr="00F2118D">
      <w:rPr>
        <w:rFonts w:ascii="Open Sans" w:hAnsi="Open Sans" w:cs="Open Sans"/>
        <w:sz w:val="11"/>
        <w:szCs w:val="11"/>
      </w:rPr>
      <w:t xml:space="preserve">The company is registered in the </w:t>
    </w:r>
    <w:r w:rsidRPr="00F2118D">
      <w:rPr>
        <w:rFonts w:ascii="Open Sans" w:hAnsi="Open Sans" w:cs="Open Sans"/>
        <w:color w:val="BDD73E"/>
        <w:sz w:val="11"/>
        <w:szCs w:val="11"/>
      </w:rPr>
      <w:t>commercial</w:t>
    </w:r>
    <w:r w:rsidRPr="00F2118D">
      <w:rPr>
        <w:rFonts w:ascii="Open Sans" w:hAnsi="Open Sans" w:cs="Open Sans"/>
        <w:sz w:val="11"/>
        <w:szCs w:val="11"/>
      </w:rPr>
      <w:t xml:space="preserve"> register administered by the municipal court in prague, section c, inset 105100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E009" w14:textId="77777777" w:rsidR="0015234E" w:rsidRDefault="0015234E">
      <w:pPr>
        <w:spacing w:before="0" w:after="0"/>
      </w:pPr>
      <w:r>
        <w:separator/>
      </w:r>
    </w:p>
  </w:footnote>
  <w:footnote w:type="continuationSeparator" w:id="0">
    <w:p w14:paraId="0A67964D" w14:textId="77777777" w:rsidR="0015234E" w:rsidRDefault="001523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9154" w14:textId="77777777" w:rsidR="00322616" w:rsidRPr="00F2118D" w:rsidRDefault="00C84EB6" w:rsidP="009D4A9A">
    <w:pPr>
      <w:pStyle w:val="Nagwek"/>
    </w:pPr>
    <w:r w:rsidRPr="00F2118D">
      <w:rPr>
        <w:noProof/>
      </w:rPr>
      <w:drawing>
        <wp:anchor distT="0" distB="0" distL="114300" distR="114300" simplePos="0" relativeHeight="251659264" behindDoc="1" locked="0" layoutInCell="1" allowOverlap="1" wp14:anchorId="73360572" wp14:editId="7A7BD29B">
          <wp:simplePos x="0" y="0"/>
          <wp:positionH relativeFrom="column">
            <wp:posOffset>-196039</wp:posOffset>
          </wp:positionH>
          <wp:positionV relativeFrom="paragraph">
            <wp:posOffset>-1008380</wp:posOffset>
          </wp:positionV>
          <wp:extent cx="1831380" cy="1147665"/>
          <wp:effectExtent l="0" t="0" r="0" b="0"/>
          <wp:wrapNone/>
          <wp:docPr id="1664462958" name="Obrázek 1664462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462958" name="Obrázek 16644629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80" cy="11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71B7" w14:textId="77777777" w:rsidR="00322616" w:rsidRPr="00F2118D" w:rsidRDefault="00C84EB6" w:rsidP="00096EC0">
    <w:pPr>
      <w:pStyle w:val="Nagwek"/>
      <w:ind w:left="1134"/>
    </w:pPr>
    <w:r w:rsidRPr="00F2118D">
      <w:rPr>
        <w:noProof/>
      </w:rPr>
      <w:drawing>
        <wp:anchor distT="0" distB="0" distL="114300" distR="114300" simplePos="0" relativeHeight="251660288" behindDoc="1" locked="0" layoutInCell="1" allowOverlap="1" wp14:anchorId="7B4B8F99" wp14:editId="1CD0D433">
          <wp:simplePos x="0" y="0"/>
          <wp:positionH relativeFrom="column">
            <wp:posOffset>-186224</wp:posOffset>
          </wp:positionH>
          <wp:positionV relativeFrom="paragraph">
            <wp:posOffset>-905510</wp:posOffset>
          </wp:positionV>
          <wp:extent cx="1467205" cy="919449"/>
          <wp:effectExtent l="0" t="0" r="0" b="0"/>
          <wp:wrapNone/>
          <wp:docPr id="668259400" name="Obrázek 668259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259400" name="Obrázek 668259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7205" cy="919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0751F"/>
    <w:multiLevelType w:val="hybridMultilevel"/>
    <w:tmpl w:val="CD2221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C65E34"/>
    <w:multiLevelType w:val="hybridMultilevel"/>
    <w:tmpl w:val="5532BB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4680A"/>
    <w:multiLevelType w:val="hybridMultilevel"/>
    <w:tmpl w:val="3B245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453907">
    <w:abstractNumId w:val="2"/>
  </w:num>
  <w:num w:numId="2" w16cid:durableId="1118259796">
    <w:abstractNumId w:val="1"/>
  </w:num>
  <w:num w:numId="3" w16cid:durableId="89963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C6"/>
    <w:rsid w:val="0015234E"/>
    <w:rsid w:val="0018117B"/>
    <w:rsid w:val="001E6A33"/>
    <w:rsid w:val="00200255"/>
    <w:rsid w:val="00240670"/>
    <w:rsid w:val="00322616"/>
    <w:rsid w:val="003E27B0"/>
    <w:rsid w:val="003E30EA"/>
    <w:rsid w:val="004E776B"/>
    <w:rsid w:val="00791CF8"/>
    <w:rsid w:val="008E025E"/>
    <w:rsid w:val="00981EF0"/>
    <w:rsid w:val="00A81896"/>
    <w:rsid w:val="00BF506E"/>
    <w:rsid w:val="00C84EB6"/>
    <w:rsid w:val="00C90BC0"/>
    <w:rsid w:val="00DB728C"/>
    <w:rsid w:val="00DC5552"/>
    <w:rsid w:val="00E11DC6"/>
    <w:rsid w:val="00E47EBC"/>
    <w:rsid w:val="00F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3EC3"/>
  <w15:chartTrackingRefBased/>
  <w15:docId w15:val="{C64FFC70-5543-4225-A732-9293576C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DC6"/>
    <w:pPr>
      <w:spacing w:before="40" w:after="360" w:line="240" w:lineRule="auto"/>
      <w:ind w:left="720" w:right="720"/>
    </w:pPr>
    <w:rPr>
      <w:rFonts w:ascii="Open Sans Light" w:hAnsi="Open Sans Light"/>
      <w:color w:val="595959" w:themeColor="text1" w:themeTint="A6"/>
      <w:kern w:val="20"/>
      <w:sz w:val="24"/>
      <w:szCs w:val="20"/>
      <w:lang w:eastAsia="ja-JP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D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1D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1D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1DC6"/>
    <w:pPr>
      <w:keepNext/>
      <w:keepLines/>
      <w:spacing w:after="0"/>
      <w:outlineLvl w:val="5"/>
    </w:pPr>
    <w:rPr>
      <w:rFonts w:eastAsiaTheme="majorEastAsia" w:cstheme="majorBidi"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1DC6"/>
    <w:pPr>
      <w:keepNext/>
      <w:keepLines/>
      <w:spacing w:after="0"/>
      <w:outlineLvl w:val="6"/>
    </w:pPr>
    <w:rPr>
      <w:rFonts w:eastAsiaTheme="majorEastAsia"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1D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1D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D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1D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D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1DC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1DC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1DC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1DC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1DC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1DC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11D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1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1DC6"/>
    <w:pPr>
      <w:numPr>
        <w:ilvl w:val="1"/>
      </w:numPr>
      <w:ind w:left="720"/>
    </w:pPr>
    <w:rPr>
      <w:rFonts w:eastAsiaTheme="majorEastAsia" w:cstheme="majorBidi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11D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11D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11DC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11DC6"/>
    <w:pPr>
      <w:contextualSpacing/>
    </w:pPr>
  </w:style>
  <w:style w:type="character" w:styleId="Wyrnienieintensywne">
    <w:name w:val="Intense Emphasis"/>
    <w:basedOn w:val="Domylnaczcionkaakapitu"/>
    <w:uiPriority w:val="21"/>
    <w:qFormat/>
    <w:rsid w:val="00E11DC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1D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1DC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11DC6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autoRedefine/>
    <w:uiPriority w:val="99"/>
    <w:unhideWhenUsed/>
    <w:qFormat/>
    <w:rsid w:val="00E11DC6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E11DC6"/>
    <w:rPr>
      <w:rFonts w:ascii="Open Sans Light" w:hAnsi="Open Sans Light"/>
      <w:color w:val="595959" w:themeColor="text1" w:themeTint="A6"/>
      <w:kern w:val="20"/>
      <w:sz w:val="24"/>
      <w:szCs w:val="20"/>
      <w:lang w:eastAsia="ja-JP"/>
      <w14:ligatures w14:val="none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E11DC6"/>
    <w:pPr>
      <w:tabs>
        <w:tab w:val="center" w:pos="4680"/>
        <w:tab w:val="right" w:pos="9360"/>
      </w:tabs>
      <w:spacing w:before="0" w:after="0" w:line="360" w:lineRule="auto"/>
      <w:ind w:left="1134"/>
      <w:contextualSpacing/>
    </w:pPr>
    <w:rPr>
      <w:rFonts w:eastAsiaTheme="minorEastAsia" w:cs="Open Sans Light"/>
      <w:b/>
      <w:bCs/>
      <w:caps/>
      <w:color w:val="313D48"/>
      <w:spacing w:val="4"/>
      <w:kern w:val="0"/>
      <w:sz w:val="12"/>
      <w:szCs w:val="12"/>
    </w:rPr>
  </w:style>
  <w:style w:type="character" w:customStyle="1" w:styleId="StopkaZnak">
    <w:name w:val="Stopka Znak"/>
    <w:basedOn w:val="Domylnaczcionkaakapitu"/>
    <w:link w:val="Stopka"/>
    <w:uiPriority w:val="99"/>
    <w:rsid w:val="00E11DC6"/>
    <w:rPr>
      <w:rFonts w:ascii="Open Sans Light" w:eastAsiaTheme="minorEastAsia" w:hAnsi="Open Sans Light" w:cs="Open Sans Light"/>
      <w:b/>
      <w:bCs/>
      <w:caps/>
      <w:color w:val="313D48"/>
      <w:spacing w:val="4"/>
      <w:kern w:val="0"/>
      <w:sz w:val="12"/>
      <w:szCs w:val="12"/>
      <w:lang w:eastAsia="ja-JP"/>
      <w14:ligatures w14:val="none"/>
    </w:rPr>
  </w:style>
  <w:style w:type="paragraph" w:customStyle="1" w:styleId="BasicParagraph">
    <w:name w:val="[Basic Paragraph]"/>
    <w:basedOn w:val="Normalny"/>
    <w:autoRedefine/>
    <w:uiPriority w:val="99"/>
    <w:rsid w:val="00E11DC6"/>
    <w:pPr>
      <w:autoSpaceDE w:val="0"/>
      <w:autoSpaceDN w:val="0"/>
      <w:adjustRightInd w:val="0"/>
      <w:spacing w:before="0" w:after="0" w:line="288" w:lineRule="auto"/>
      <w:ind w:left="0" w:right="0"/>
      <w:textAlignment w:val="center"/>
    </w:pPr>
    <w:rPr>
      <w:rFonts w:ascii="Open Sans" w:eastAsiaTheme="minorEastAsia" w:hAnsi="Open Sans" w:cs="Open Sans"/>
      <w:color w:val="BED63D"/>
      <w:kern w:val="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1DC6"/>
    <w:rPr>
      <w:rFonts w:ascii="Open Sans" w:hAnsi="Open Sans"/>
      <w:b w:val="0"/>
      <w:i w:val="0"/>
      <w:color w:val="BED63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ospisilova@asbgroup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bgroup.eu" TargetMode="External"/><Relationship Id="rId1" Type="http://schemas.openxmlformats.org/officeDocument/2006/relationships/hyperlink" Target="mailto:prague@asbgroup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3859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Pospíšilová</dc:creator>
  <cp:keywords/>
  <dc:description/>
  <cp:lastModifiedBy>Katarzyna Królak</cp:lastModifiedBy>
  <cp:revision>2</cp:revision>
  <dcterms:created xsi:type="dcterms:W3CDTF">2024-03-08T09:19:00Z</dcterms:created>
  <dcterms:modified xsi:type="dcterms:W3CDTF">2024-03-08T09:19:00Z</dcterms:modified>
</cp:coreProperties>
</file>